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Times New Roman"/>
        </w:rPr>
      </w:pPr>
      <w:r>
        <w:rPr>
          <w:rFonts w:hint="eastAsia" w:ascii="黑体" w:hAnsi="黑体" w:eastAsia="黑体" w:cs="黑体"/>
          <w:kern w:val="0"/>
          <w:sz w:val="30"/>
          <w:szCs w:val="30"/>
        </w:rPr>
        <w:t>附件</w:t>
      </w:r>
      <w:r>
        <w:rPr>
          <w:rFonts w:ascii="黑体" w:hAnsi="黑体" w:eastAsia="黑体" w:cs="黑体"/>
          <w:kern w:val="0"/>
          <w:sz w:val="30"/>
          <w:szCs w:val="30"/>
        </w:rPr>
        <w:t xml:space="preserve"> 2</w:t>
      </w:r>
      <w:r>
        <w:rPr>
          <w:rFonts w:hint="eastAsia" w:ascii="黑体" w:hAnsi="黑体" w:eastAsia="黑体" w:cs="黑体"/>
          <w:kern w:val="0"/>
          <w:sz w:val="30"/>
          <w:szCs w:val="30"/>
        </w:rPr>
        <w:t>：</w:t>
      </w:r>
    </w:p>
    <w:p>
      <w:pPr>
        <w:spacing w:line="52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2018</w:t>
      </w:r>
      <w:r>
        <w:rPr>
          <w:rFonts w:hint="eastAsia" w:ascii="Times New Roman" w:hAnsi="Times New Roman" w:eastAsia="方正小标宋简体" w:cs="方正小标宋简体"/>
          <w:sz w:val="36"/>
          <w:szCs w:val="36"/>
        </w:rPr>
        <w:t>年“万人计划”教学名师（高等学校）</w:t>
      </w:r>
    </w:p>
    <w:p>
      <w:pPr>
        <w:spacing w:line="520" w:lineRule="exact"/>
        <w:jc w:val="center"/>
        <w:rPr>
          <w:rFonts w:ascii="Times New Roman" w:hAnsi="Times New Roman" w:eastAsia="方正小标宋简体" w:cs="Times New Roman"/>
          <w:spacing w:val="40"/>
          <w:sz w:val="36"/>
          <w:szCs w:val="36"/>
        </w:rPr>
      </w:pPr>
      <w:r>
        <w:rPr>
          <w:rFonts w:hint="eastAsia" w:ascii="Times New Roman" w:hAnsi="Times New Roman" w:eastAsia="方正小标宋简体" w:cs="方正小标宋简体"/>
          <w:spacing w:val="40"/>
          <w:sz w:val="36"/>
          <w:szCs w:val="36"/>
        </w:rPr>
        <w:t>遴选指标体系</w:t>
      </w:r>
    </w:p>
    <w:p>
      <w:pPr>
        <w:spacing w:line="520" w:lineRule="exact"/>
        <w:jc w:val="center"/>
        <w:rPr>
          <w:rFonts w:ascii="仿宋_GB2312" w:hAnsi="Times New Roman" w:eastAsia="仿宋_GB2312" w:cs="Times New Roman"/>
          <w:b/>
          <w:bCs/>
          <w:sz w:val="30"/>
          <w:szCs w:val="30"/>
        </w:rPr>
      </w:pPr>
      <w:r>
        <w:rPr>
          <w:rFonts w:hint="eastAsia" w:ascii="仿宋_GB2312" w:hAnsi="Times New Roman" w:eastAsia="仿宋_GB2312" w:cs="仿宋_GB2312"/>
          <w:b/>
          <w:bCs/>
          <w:sz w:val="30"/>
          <w:szCs w:val="30"/>
        </w:rPr>
        <w:t>（普通本科学校）</w:t>
      </w:r>
    </w:p>
    <w:tbl>
      <w:tblPr>
        <w:tblStyle w:val="8"/>
        <w:tblW w:w="891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1033"/>
        <w:gridCol w:w="838"/>
        <w:gridCol w:w="6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779" w:type="dxa"/>
            <w:gridSpan w:val="2"/>
            <w:vMerge w:val="restart"/>
            <w:tcBorders>
              <w:top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仿宋_GB2312"/>
                <w:b/>
                <w:bCs/>
                <w:sz w:val="24"/>
                <w:szCs w:val="24"/>
              </w:rPr>
              <w:t>遴选项目</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仿宋_GB2312"/>
                <w:b/>
                <w:bCs/>
                <w:sz w:val="24"/>
                <w:szCs w:val="24"/>
              </w:rPr>
              <w:t>分</w:t>
            </w:r>
            <w:r>
              <w:rPr>
                <w:rFonts w:ascii="仿宋_GB2312" w:hAnsi="Times New Roman" w:eastAsia="仿宋_GB2312" w:cs="仿宋_GB2312"/>
                <w:b/>
                <w:bCs/>
                <w:sz w:val="24"/>
                <w:szCs w:val="24"/>
              </w:rPr>
              <w:t xml:space="preserve"> </w:t>
            </w:r>
            <w:r>
              <w:rPr>
                <w:rFonts w:hint="eastAsia" w:ascii="仿宋_GB2312" w:hAnsi="Times New Roman" w:eastAsia="仿宋_GB2312" w:cs="仿宋_GB2312"/>
                <w:b/>
                <w:bCs/>
                <w:sz w:val="24"/>
                <w:szCs w:val="24"/>
              </w:rPr>
              <w:t>值</w:t>
            </w:r>
          </w:p>
        </w:tc>
        <w:tc>
          <w:tcPr>
            <w:tcW w:w="6302" w:type="dxa"/>
            <w:vMerge w:val="restart"/>
            <w:tcBorders>
              <w:top w:val="single" w:color="auto" w:sz="4" w:space="0"/>
              <w:left w:val="single" w:color="auto" w:sz="4" w:space="0"/>
              <w:bottom w:val="single" w:color="auto" w:sz="4" w:space="0"/>
            </w:tcBorders>
            <w:vAlign w:val="center"/>
          </w:tcPr>
          <w:p>
            <w:pPr>
              <w:spacing w:line="400" w:lineRule="exact"/>
              <w:jc w:val="center"/>
              <w:rPr>
                <w:rFonts w:ascii="仿宋_GB2312" w:hAnsi="Times New Roman" w:eastAsia="仿宋_GB2312" w:cs="Times New Roman"/>
                <w:b/>
                <w:bCs/>
                <w:sz w:val="24"/>
                <w:szCs w:val="24"/>
              </w:rPr>
            </w:pPr>
            <w:r>
              <w:rPr>
                <w:rFonts w:hint="eastAsia" w:ascii="仿宋_GB2312" w:hAnsi="Times New Roman" w:eastAsia="仿宋_GB2312" w:cs="仿宋_GB2312"/>
                <w:b/>
                <w:bCs/>
                <w:sz w:val="24"/>
                <w:szCs w:val="24"/>
              </w:rPr>
              <w:t>遴</w:t>
            </w:r>
            <w:r>
              <w:rPr>
                <w:rFonts w:ascii="仿宋_GB2312" w:hAnsi="Times New Roman" w:eastAsia="仿宋_GB2312" w:cs="仿宋_GB2312"/>
                <w:b/>
                <w:bCs/>
                <w:sz w:val="24"/>
                <w:szCs w:val="24"/>
              </w:rPr>
              <w:t xml:space="preserve"> </w:t>
            </w:r>
            <w:r>
              <w:rPr>
                <w:rFonts w:hint="eastAsia" w:ascii="仿宋_GB2312" w:hAnsi="Times New Roman" w:eastAsia="仿宋_GB2312" w:cs="仿宋_GB2312"/>
                <w:b/>
                <w:bCs/>
                <w:sz w:val="24"/>
                <w:szCs w:val="24"/>
              </w:rPr>
              <w:t>选</w:t>
            </w:r>
            <w:r>
              <w:rPr>
                <w:rFonts w:ascii="仿宋_GB2312" w:hAnsi="Times New Roman" w:eastAsia="仿宋_GB2312" w:cs="仿宋_GB2312"/>
                <w:b/>
                <w:bCs/>
                <w:sz w:val="24"/>
                <w:szCs w:val="24"/>
              </w:rPr>
              <w:t xml:space="preserve"> </w:t>
            </w:r>
            <w:r>
              <w:rPr>
                <w:rFonts w:hint="eastAsia" w:ascii="仿宋_GB2312" w:hAnsi="Times New Roman" w:eastAsia="仿宋_GB2312" w:cs="仿宋_GB2312"/>
                <w:b/>
                <w:bCs/>
                <w:sz w:val="24"/>
                <w:szCs w:val="24"/>
              </w:rPr>
              <w:t>内</w:t>
            </w:r>
            <w:r>
              <w:rPr>
                <w:rFonts w:ascii="仿宋_GB2312" w:hAnsi="Times New Roman" w:eastAsia="仿宋_GB2312" w:cs="仿宋_GB2312"/>
                <w:b/>
                <w:bCs/>
                <w:sz w:val="24"/>
                <w:szCs w:val="24"/>
              </w:rPr>
              <w:t xml:space="preserve"> </w:t>
            </w:r>
            <w:r>
              <w:rPr>
                <w:rFonts w:hint="eastAsia" w:ascii="仿宋_GB2312" w:hAnsi="Times New Roman" w:eastAsia="仿宋_GB2312" w:cs="仿宋_GB2312"/>
                <w:b/>
                <w:bCs/>
                <w:sz w:val="24"/>
                <w:szCs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0" w:hRule="atLeast"/>
          <w:jc w:val="center"/>
        </w:trPr>
        <w:tc>
          <w:tcPr>
            <w:tcW w:w="1779" w:type="dxa"/>
            <w:gridSpan w:val="2"/>
            <w:vMerge w:val="continue"/>
            <w:tcBorders>
              <w:top w:val="single" w:color="auto" w:sz="4" w:space="0"/>
              <w:bottom w:val="single" w:color="auto" w:sz="4" w:space="0"/>
              <w:right w:val="single" w:color="auto" w:sz="4" w:space="0"/>
            </w:tcBorders>
            <w:vAlign w:val="center"/>
          </w:tcPr>
          <w:p>
            <w:pPr>
              <w:spacing w:line="400" w:lineRule="exact"/>
              <w:jc w:val="left"/>
              <w:rPr>
                <w:rFonts w:ascii="仿宋_GB2312" w:hAnsi="Times New Roman" w:eastAsia="仿宋_GB2312" w:cs="Times New Roman"/>
                <w:b/>
                <w:bCs/>
                <w:sz w:val="24"/>
                <w:szCs w:val="24"/>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Times New Roman" w:eastAsia="仿宋_GB2312" w:cs="Times New Roman"/>
                <w:b/>
                <w:bCs/>
                <w:sz w:val="24"/>
                <w:szCs w:val="24"/>
              </w:rPr>
            </w:pPr>
          </w:p>
        </w:tc>
        <w:tc>
          <w:tcPr>
            <w:tcW w:w="6302" w:type="dxa"/>
            <w:vMerge w:val="continue"/>
            <w:tcBorders>
              <w:top w:val="single" w:color="auto" w:sz="4" w:space="0"/>
              <w:left w:val="single" w:color="auto" w:sz="4" w:space="0"/>
              <w:bottom w:val="single" w:color="auto" w:sz="4" w:space="0"/>
            </w:tcBorders>
            <w:vAlign w:val="center"/>
          </w:tcPr>
          <w:p>
            <w:pPr>
              <w:spacing w:line="400" w:lineRule="exact"/>
              <w:jc w:val="left"/>
              <w:rPr>
                <w:rFonts w:ascii="仿宋_GB2312"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779" w:type="dxa"/>
            <w:gridSpan w:val="2"/>
            <w:tcBorders>
              <w:top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r>
              <w:rPr>
                <w:rFonts w:ascii="仿宋_GB2312" w:hAnsi="Times New Roman" w:eastAsia="仿宋_GB2312" w:cs="仿宋_GB2312"/>
                <w:sz w:val="24"/>
                <w:szCs w:val="24"/>
              </w:rPr>
              <w:t xml:space="preserve">1. </w:t>
            </w:r>
            <w:r>
              <w:rPr>
                <w:rFonts w:hint="eastAsia" w:ascii="仿宋_GB2312" w:hAnsi="Times New Roman" w:eastAsia="仿宋_GB2312" w:cs="仿宋_GB2312"/>
                <w:sz w:val="24"/>
                <w:szCs w:val="24"/>
              </w:rPr>
              <w:t>师德风范</w:t>
            </w:r>
          </w:p>
        </w:tc>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仿宋_GB2312"/>
                <w:sz w:val="24"/>
                <w:szCs w:val="24"/>
              </w:rPr>
            </w:pPr>
            <w:r>
              <w:rPr>
                <w:rFonts w:ascii="仿宋_GB2312" w:hAnsi="Times New Roman" w:eastAsia="仿宋_GB2312" w:cs="仿宋_GB2312"/>
                <w:sz w:val="24"/>
                <w:szCs w:val="24"/>
              </w:rPr>
              <w:t>20</w:t>
            </w:r>
          </w:p>
        </w:tc>
        <w:tc>
          <w:tcPr>
            <w:tcW w:w="6302" w:type="dxa"/>
            <w:tcBorders>
              <w:top w:val="single" w:color="auto" w:sz="4" w:space="0"/>
              <w:left w:val="single" w:color="auto" w:sz="4" w:space="0"/>
              <w:bottom w:val="single" w:color="auto" w:sz="4" w:space="0"/>
            </w:tcBorders>
            <w:vAlign w:val="center"/>
          </w:tcPr>
          <w:p>
            <w:pPr>
              <w:spacing w:line="4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爱国守法，敬业爱生，教书育人，严谨治学，服务社会，为人师表，堪为大学生健康成长的指导者和引路人。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81" w:hRule="atLeast"/>
          <w:jc w:val="center"/>
        </w:trPr>
        <w:tc>
          <w:tcPr>
            <w:tcW w:w="746" w:type="dxa"/>
            <w:vMerge w:val="restart"/>
            <w:tcBorders>
              <w:top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仿宋_GB2312"/>
                <w:sz w:val="24"/>
                <w:szCs w:val="24"/>
              </w:rPr>
            </w:pPr>
            <w:r>
              <w:rPr>
                <w:rFonts w:ascii="仿宋_GB2312" w:hAnsi="Times New Roman" w:eastAsia="仿宋_GB2312" w:cs="仿宋_GB2312"/>
                <w:sz w:val="24"/>
                <w:szCs w:val="24"/>
              </w:rPr>
              <w:t>2.</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教</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学</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能</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力</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与</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水</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平</w:t>
            </w:r>
          </w:p>
        </w:tc>
        <w:tc>
          <w:tcPr>
            <w:tcW w:w="10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教学思想与内容</w:t>
            </w:r>
          </w:p>
        </w:tc>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仿宋_GB2312"/>
                <w:sz w:val="24"/>
                <w:szCs w:val="24"/>
              </w:rPr>
            </w:pPr>
            <w:r>
              <w:rPr>
                <w:rFonts w:ascii="仿宋_GB2312" w:hAnsi="Times New Roman" w:eastAsia="仿宋_GB2312" w:cs="仿宋_GB2312"/>
                <w:sz w:val="24"/>
                <w:szCs w:val="24"/>
              </w:rPr>
              <w:t>10</w:t>
            </w:r>
          </w:p>
        </w:tc>
        <w:tc>
          <w:tcPr>
            <w:tcW w:w="6302" w:type="dxa"/>
            <w:tcBorders>
              <w:top w:val="single" w:color="auto" w:sz="4" w:space="0"/>
              <w:left w:val="single" w:color="auto" w:sz="4" w:space="0"/>
              <w:bottom w:val="single" w:color="auto" w:sz="4" w:space="0"/>
            </w:tcBorders>
            <w:vAlign w:val="center"/>
          </w:tcPr>
          <w:p>
            <w:pPr>
              <w:spacing w:line="4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遵循教育规律和人才成长规律，教育理念先进，具有国际视野。教学内容符合大学生认知特点，理论联系实际，能及时把学科最新发展和国内外教改成果转化为教学资源。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74" w:hRule="atLeast"/>
          <w:jc w:val="center"/>
        </w:trPr>
        <w:tc>
          <w:tcPr>
            <w:tcW w:w="746" w:type="dxa"/>
            <w:vMerge w:val="continue"/>
            <w:tcBorders>
              <w:top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教学艺术与方法</w:t>
            </w:r>
          </w:p>
        </w:tc>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仿宋_GB2312"/>
                <w:sz w:val="24"/>
                <w:szCs w:val="24"/>
              </w:rPr>
            </w:pPr>
            <w:r>
              <w:rPr>
                <w:rFonts w:ascii="仿宋_GB2312" w:hAnsi="Times New Roman" w:eastAsia="仿宋_GB2312" w:cs="仿宋_GB2312"/>
                <w:sz w:val="24"/>
                <w:szCs w:val="24"/>
              </w:rPr>
              <w:t>10</w:t>
            </w:r>
          </w:p>
        </w:tc>
        <w:tc>
          <w:tcPr>
            <w:tcW w:w="6302" w:type="dxa"/>
            <w:tcBorders>
              <w:top w:val="single" w:color="auto" w:sz="4" w:space="0"/>
              <w:left w:val="single" w:color="auto" w:sz="4" w:space="0"/>
              <w:bottom w:val="single" w:color="auto" w:sz="4" w:space="0"/>
            </w:tcBorders>
            <w:vAlign w:val="center"/>
          </w:tcPr>
          <w:p>
            <w:pPr>
              <w:spacing w:line="4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教学艺术精湛，注重学思结合、知行统一、因材施教，积极开展启发式、探究式、讨论式、参与式教学，激发和鼓励学生的创造思维。有效应用现代信息技术。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18" w:hRule="atLeast"/>
          <w:jc w:val="center"/>
        </w:trPr>
        <w:tc>
          <w:tcPr>
            <w:tcW w:w="746" w:type="dxa"/>
            <w:vMerge w:val="continue"/>
            <w:tcBorders>
              <w:top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教学改革与成就</w:t>
            </w:r>
          </w:p>
        </w:tc>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仿宋_GB2312"/>
                <w:sz w:val="24"/>
                <w:szCs w:val="24"/>
              </w:rPr>
            </w:pPr>
            <w:r>
              <w:rPr>
                <w:rFonts w:ascii="仿宋_GB2312" w:hAnsi="Times New Roman" w:eastAsia="仿宋_GB2312" w:cs="仿宋_GB2312"/>
                <w:sz w:val="24"/>
                <w:szCs w:val="24"/>
              </w:rPr>
              <w:t>10</w:t>
            </w:r>
          </w:p>
        </w:tc>
        <w:tc>
          <w:tcPr>
            <w:tcW w:w="6302" w:type="dxa"/>
            <w:tcBorders>
              <w:top w:val="single" w:color="auto" w:sz="4" w:space="0"/>
              <w:left w:val="single" w:color="auto" w:sz="4" w:space="0"/>
              <w:bottom w:val="single" w:color="auto" w:sz="4" w:space="0"/>
            </w:tcBorders>
            <w:vAlign w:val="center"/>
          </w:tcPr>
          <w:p>
            <w:pPr>
              <w:spacing w:line="4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4" w:hRule="atLeast"/>
          <w:jc w:val="center"/>
        </w:trPr>
        <w:tc>
          <w:tcPr>
            <w:tcW w:w="746" w:type="dxa"/>
            <w:vMerge w:val="continue"/>
            <w:tcBorders>
              <w:top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教学</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效果</w:t>
            </w:r>
          </w:p>
        </w:tc>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仿宋_GB2312"/>
                <w:sz w:val="24"/>
                <w:szCs w:val="24"/>
              </w:rPr>
            </w:pPr>
            <w:r>
              <w:rPr>
                <w:rFonts w:ascii="仿宋_GB2312" w:hAnsi="Times New Roman" w:eastAsia="仿宋_GB2312" w:cs="仿宋_GB2312"/>
                <w:sz w:val="24"/>
                <w:szCs w:val="24"/>
              </w:rPr>
              <w:t>15</w:t>
            </w:r>
          </w:p>
        </w:tc>
        <w:tc>
          <w:tcPr>
            <w:tcW w:w="6302" w:type="dxa"/>
            <w:tcBorders>
              <w:top w:val="single" w:color="auto" w:sz="4" w:space="0"/>
              <w:left w:val="single" w:color="auto" w:sz="4" w:space="0"/>
              <w:bottom w:val="single" w:color="auto" w:sz="4" w:space="0"/>
            </w:tcBorders>
            <w:vAlign w:val="center"/>
          </w:tcPr>
          <w:p>
            <w:pPr>
              <w:spacing w:line="4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教学能力突出，教学风格鲜明，主讲课程达到国内同类课程领先水平，大学生评价优秀，得到同行公认，具有示范引领作用，在全国有较大影响。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jc w:val="center"/>
        </w:trPr>
        <w:tc>
          <w:tcPr>
            <w:tcW w:w="746" w:type="dxa"/>
            <w:vMerge w:val="continue"/>
            <w:tcBorders>
              <w:top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教材</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仿宋_GB2312"/>
                <w:sz w:val="24"/>
                <w:szCs w:val="24"/>
              </w:rPr>
              <w:t>建设</w:t>
            </w:r>
          </w:p>
        </w:tc>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仿宋_GB2312"/>
                <w:sz w:val="24"/>
                <w:szCs w:val="24"/>
              </w:rPr>
            </w:pPr>
            <w:r>
              <w:rPr>
                <w:rFonts w:ascii="仿宋_GB2312" w:hAnsi="Times New Roman" w:eastAsia="仿宋_GB2312" w:cs="仿宋_GB2312"/>
                <w:sz w:val="24"/>
                <w:szCs w:val="24"/>
              </w:rPr>
              <w:t>10</w:t>
            </w:r>
          </w:p>
        </w:tc>
        <w:tc>
          <w:tcPr>
            <w:tcW w:w="6302" w:type="dxa"/>
            <w:tcBorders>
              <w:top w:val="single" w:color="auto" w:sz="4" w:space="0"/>
              <w:left w:val="single" w:color="auto" w:sz="4" w:space="0"/>
              <w:bottom w:val="single" w:color="auto" w:sz="4" w:space="0"/>
            </w:tcBorders>
            <w:vAlign w:val="center"/>
          </w:tcPr>
          <w:p>
            <w:pPr>
              <w:spacing w:line="4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自编、主编的本科教材，质量高、有特色、版本新。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1779" w:type="dxa"/>
            <w:gridSpan w:val="2"/>
            <w:tcBorders>
              <w:top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r>
              <w:rPr>
                <w:rFonts w:ascii="仿宋_GB2312" w:hAnsi="Times New Roman" w:eastAsia="仿宋_GB2312" w:cs="仿宋_GB2312"/>
                <w:sz w:val="24"/>
                <w:szCs w:val="24"/>
              </w:rPr>
              <w:t>3</w:t>
            </w:r>
            <w:r>
              <w:rPr>
                <w:rFonts w:hint="eastAsia" w:ascii="仿宋_GB2312" w:hAnsi="Times New Roman" w:eastAsia="仿宋_GB2312" w:cs="仿宋_GB2312"/>
                <w:sz w:val="24"/>
                <w:szCs w:val="24"/>
              </w:rPr>
              <w:t>．教学梯队建设与贡献</w:t>
            </w:r>
          </w:p>
        </w:tc>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仿宋_GB2312"/>
                <w:sz w:val="24"/>
                <w:szCs w:val="24"/>
              </w:rPr>
            </w:pPr>
            <w:r>
              <w:rPr>
                <w:rFonts w:ascii="仿宋_GB2312" w:hAnsi="Times New Roman" w:eastAsia="仿宋_GB2312" w:cs="仿宋_GB2312"/>
                <w:sz w:val="24"/>
                <w:szCs w:val="24"/>
              </w:rPr>
              <w:t>15</w:t>
            </w:r>
          </w:p>
        </w:tc>
        <w:tc>
          <w:tcPr>
            <w:tcW w:w="6302" w:type="dxa"/>
            <w:tcBorders>
              <w:top w:val="single" w:color="auto" w:sz="4" w:space="0"/>
              <w:left w:val="single" w:color="auto" w:sz="4" w:space="0"/>
              <w:bottom w:val="single" w:color="auto" w:sz="4" w:space="0"/>
            </w:tcBorders>
            <w:vAlign w:val="center"/>
          </w:tcPr>
          <w:p>
            <w:pPr>
              <w:spacing w:line="400" w:lineRule="exact"/>
              <w:rPr>
                <w:rFonts w:ascii="仿宋_GB2312" w:hAnsi="Times New Roman" w:eastAsia="仿宋_GB2312" w:cs="Times New Roman"/>
                <w:sz w:val="24"/>
                <w:szCs w:val="24"/>
              </w:rPr>
            </w:pPr>
            <w:r>
              <w:rPr>
                <w:rFonts w:hint="eastAsia" w:ascii="仿宋_GB2312" w:hAnsi="Times New Roman" w:eastAsia="仿宋_GB2312" w:cs="仿宋_GB2312"/>
                <w:sz w:val="24"/>
                <w:szCs w:val="24"/>
              </w:rPr>
              <w:t>领衔高水平教学科研团队，自觉指导和帮助团队教师提高业务水平和教学能力，对确立本校该领域教学的历史地位作出重要贡献。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9" w:hRule="atLeast"/>
          <w:jc w:val="center"/>
        </w:trPr>
        <w:tc>
          <w:tcPr>
            <w:tcW w:w="1779" w:type="dxa"/>
            <w:gridSpan w:val="2"/>
            <w:tcBorders>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24"/>
                <w:szCs w:val="24"/>
              </w:rPr>
            </w:pPr>
            <w:r>
              <w:rPr>
                <w:rFonts w:ascii="仿宋_GB2312" w:hAnsi="Times New Roman" w:eastAsia="仿宋_GB2312" w:cs="仿宋_GB2312"/>
                <w:sz w:val="24"/>
                <w:szCs w:val="24"/>
              </w:rPr>
              <w:t>4.</w:t>
            </w:r>
            <w:r>
              <w:rPr>
                <w:rFonts w:hint="eastAsia" w:ascii="仿宋_GB2312" w:hAnsi="Times New Roman" w:eastAsia="仿宋_GB2312" w:cs="仿宋_GB2312"/>
                <w:sz w:val="24"/>
                <w:szCs w:val="24"/>
              </w:rPr>
              <w:t>科学研究与学术水平</w:t>
            </w:r>
          </w:p>
        </w:tc>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仿宋_GB2312"/>
                <w:sz w:val="24"/>
                <w:szCs w:val="24"/>
              </w:rPr>
            </w:pPr>
            <w:r>
              <w:rPr>
                <w:rFonts w:ascii="仿宋_GB2312" w:hAnsi="Times New Roman" w:eastAsia="仿宋_GB2312" w:cs="仿宋_GB2312"/>
                <w:sz w:val="24"/>
                <w:szCs w:val="24"/>
              </w:rPr>
              <w:t>10</w:t>
            </w:r>
          </w:p>
        </w:tc>
        <w:tc>
          <w:tcPr>
            <w:tcW w:w="6302" w:type="dxa"/>
            <w:tcBorders>
              <w:top w:val="single" w:color="auto" w:sz="4" w:space="0"/>
              <w:left w:val="single" w:color="auto" w:sz="4" w:space="0"/>
              <w:bottom w:val="single" w:color="auto" w:sz="4" w:space="0"/>
            </w:tcBorders>
            <w:vAlign w:val="center"/>
          </w:tcPr>
          <w:p>
            <w:pPr>
              <w:spacing w:line="400" w:lineRule="exact"/>
              <w:rPr>
                <w:rFonts w:ascii="仿宋_GB2312" w:hAnsi="Times New Roman" w:eastAsia="仿宋_GB2312" w:cs="Times New Roman"/>
                <w:kern w:val="13"/>
                <w:sz w:val="24"/>
                <w:szCs w:val="24"/>
              </w:rPr>
            </w:pPr>
            <w:r>
              <w:rPr>
                <w:rFonts w:hint="eastAsia" w:ascii="仿宋_GB2312" w:hAnsi="Times New Roman" w:eastAsia="仿宋_GB2312" w:cs="仿宋_GB2312"/>
                <w:sz w:val="24"/>
                <w:szCs w:val="24"/>
              </w:rPr>
              <w:t>主持或承担重要科研项目，发表出版高质量的论文或专著，</w:t>
            </w:r>
            <w:r>
              <w:rPr>
                <w:rFonts w:hint="eastAsia" w:ascii="仿宋_GB2312" w:hAnsi="Times New Roman" w:eastAsia="仿宋_GB2312" w:cs="仿宋_GB2312"/>
                <w:kern w:val="13"/>
                <w:sz w:val="24"/>
                <w:szCs w:val="24"/>
              </w:rPr>
              <w:t>在国内外同领域具有较高学术地位和知名度</w:t>
            </w:r>
            <w:r>
              <w:rPr>
                <w:rFonts w:hint="eastAsia" w:ascii="仿宋_GB2312" w:hAnsi="Times New Roman" w:eastAsia="仿宋_GB2312" w:cs="仿宋_GB2312"/>
                <w:sz w:val="24"/>
                <w:szCs w:val="24"/>
              </w:rPr>
              <w:t>。</w:t>
            </w:r>
          </w:p>
        </w:tc>
      </w:tr>
    </w:tbl>
    <w:p>
      <w:pPr>
        <w:rPr>
          <w:rFonts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DengXian">
    <w:altName w:val="宋体"/>
    <w:panose1 w:val="020106000300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Wingdings 2">
    <w:panose1 w:val="05020102010507070707"/>
    <w:charset w:val="02"/>
    <w:family w:val="decorative"/>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4"/>
  </w:compat>
  <w:rsids>
    <w:rsidRoot w:val="00000000"/>
    <w:rsid w:val="1CF77971"/>
    <w:rsid w:val="4F5C32A3"/>
    <w:rsid w:val="64E458F4"/>
    <w:rsid w:val="6C050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DengXian"/>
      <w:kern w:val="2"/>
      <w:sz w:val="21"/>
      <w:szCs w:val="21"/>
      <w:lang w:val="en-US" w:eastAsia="zh-CN" w:bidi="ar-SA"/>
    </w:rPr>
  </w:style>
  <w:style w:type="character" w:default="1" w:styleId="5">
    <w:name w:val="Default Paragraph Font"/>
    <w:uiPriority w:val="1"/>
  </w:style>
  <w:style w:type="table" w:default="1" w:styleId="8">
    <w:name w:val="Normal Table"/>
    <w:uiPriority w:val="99"/>
    <w:tblPr>
      <w:tblLayout w:type="fixed"/>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99"/>
    <w:rPr>
      <w:b/>
      <w:bCs/>
    </w:rPr>
  </w:style>
  <w:style w:type="character" w:styleId="7">
    <w:name w:val="Hyperlink"/>
    <w:basedOn w:val="5"/>
    <w:qFormat/>
    <w:uiPriority w:val="99"/>
    <w:rPr>
      <w:color w:val="auto"/>
      <w:u w:val="single"/>
    </w:rPr>
  </w:style>
  <w:style w:type="character" w:customStyle="1" w:styleId="9">
    <w:name w:val="批注框文本 字符"/>
    <w:basedOn w:val="5"/>
    <w:link w:val="2"/>
    <w:qFormat/>
    <w:uiPriority w:val="99"/>
    <w:rPr>
      <w:rFonts w:ascii="DengXian" w:hAnsi="DengXian" w:eastAsia="DengXian" w:cs="DengXi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4685</Words>
  <Characters>4939</Characters>
  <Paragraphs>870</Paragraphs>
  <TotalTime>4</TotalTime>
  <ScaleCrop>false</ScaleCrop>
  <LinksUpToDate>false</LinksUpToDate>
  <CharactersWithSpaces>5754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2018-08-11T13:52:00Z</dcterms:created>
  <dc:creator>刘依林(教师处)</dc:creator>
  <cp:lastModifiedBy>Administrator</cp:lastModifiedBy>
  <dcterms:modified xsi:type="dcterms:W3CDTF">2018-08-11T23:24:30Z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