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sz w:val="36"/>
          <w:szCs w:val="36"/>
          <w:lang w:val="en-US" w:eastAsia="zh-CN"/>
        </w:rPr>
      </w:pPr>
      <w:bookmarkStart w:id="0" w:name="_GoBack"/>
      <w:bookmarkEnd w:id="0"/>
      <w:r>
        <w:rPr>
          <w:rFonts w:hint="eastAsia" w:ascii="方正小标宋_GBK" w:hAnsi="方正小标宋_GBK" w:eastAsia="方正小标宋_GBK" w:cs="方正小标宋_GBK"/>
          <w:sz w:val="36"/>
          <w:szCs w:val="36"/>
          <w:lang w:val="en-US" w:eastAsia="zh-CN"/>
        </w:rPr>
        <w:t>教育部关于高校教师师德失范行为处理的指导意见</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教师〔2018〕17号</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各省、自治区、直辖市教育厅（教委），新疆生产建设兵团教育局，有关部门（单位）教育司（局），部属各高等学校、部省合建各高等学校：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二、高校教师要自觉加强师德修养，严格遵守师德规范，严以律己，为人师表，把教书育人和自我修养结合起来，坚持以德立身、以德立学、以德施教、以德育德。发生师德失范行为，本人要承担相应责任。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四、对师德失范行为的处理，应坚持公平公正、教育与惩处相结合的原则，做到事实清楚、证据确凿、定性准确、处理适当、程序合法、手续完备。</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六、高校师德师风建设要坚持权责对等、分级负责、层层落实、失责必问、问责必严的原则。对于相关单位和责任人不履行或不正确履行职责，有下列情形之一的，根据职责权限和责任划分进行问责：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（一）师德师风制度建设、日常教育监督、舆论宣传、预防工作不到位；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（二）师德失范问题排查发现不及时；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（三）对已发现的师德失范行为处置不力、方式不当；</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（四）已作出的师德失范行为处理决定落实不到位，师德失范行为整改不彻底；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（五）多次出现师德失范问题或因师德失范行为引起不良社会影响；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（六）其他应当问责的失职失责情形。</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七、教师出现师德失范问题，所在院（系）行政主要负责人和党组织主要负责人需向学校分别做出检讨，由学校依据有关规定视情节轻重采取约谈、诫勉谈话、通报批评、纪律处分和组织处理等方式进行问责。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八、教师出现师德失范问题，学校需向上级主管部门做出说明，并引以为戒，进行自查自纠与落实整改。如有学校反复出现师德失范问题，分管校领导应向学校做出检讨，学校应在上级主管部门督导下进行整改。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九、各地各校应当依据本意见制定高校教师师德失范行为负面清单及处理办法，并报上级主管部门备案。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十、民办高校的劳动人事管理执行《中华人民共和国劳动合同法》规定，对教师师德失范行为的处理，遵照本指导意见执行。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B26B4"/>
    <w:rsid w:val="055B26B4"/>
    <w:rsid w:val="5A4C0C2B"/>
    <w:rsid w:val="5F4F1033"/>
    <w:rsid w:val="624C0C68"/>
    <w:rsid w:val="6728523A"/>
    <w:rsid w:val="690F3DCD"/>
    <w:rsid w:val="7F817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2019-01-04T06:20:00Z</dcterms:created>
  <dc:creator>sxc</dc:creator>
  <cp:lastModifiedBy>sxc</cp:lastModifiedBy>
  <cp:lastPrinted>2019-01-05T03:09:00Z</cp:lastPrinted>
  <dcterms:modified xsi:type="dcterms:W3CDTF">2019-02-15T03:01:32Z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